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Selección de 10 contribuciones científicas asociadas a las tesis doctorales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Programa de Doctorado en Comunicación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2019-2023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Los alumnos de doctorado matriculados durante el período objeto de análisis acumulan cerca de un centenar de publicaciones entre artículos, capítulos de libro y libros.</w:t>
      </w:r>
    </w:p>
    <w:p w:rsidR="00000000" w:rsidDel="00000000" w:rsidP="00000000" w:rsidRDefault="00000000" w:rsidRPr="00000000" w14:paraId="00000007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Este listado recoge 10 publicaciones derivadas de las tesis doctorales con sus respectivos indicios de calidad.</w:t>
      </w:r>
    </w:p>
    <w:p w:rsidR="00000000" w:rsidDel="00000000" w:rsidP="00000000" w:rsidRDefault="00000000" w:rsidRPr="00000000" w14:paraId="00000008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 TESIS de LUISA ZOZAYA</w:t>
      </w:r>
    </w:p>
    <w:p w:rsidR="00000000" w:rsidDel="00000000" w:rsidP="00000000" w:rsidRDefault="00000000" w:rsidRPr="00000000" w14:paraId="0000000A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 de la tesis: Menores y marketing de influencia: la alfabetización publicitaria ante nuevos formatos persuasivos en redes sociales. Leída: 4 de julio de 2023. Directores: Charo Sádaba Chalezquer y Beatriz Feijoo Fernández. Sobresaliente Cum Laude. Doctorado Internacional</w:t>
      </w:r>
    </w:p>
    <w:p w:rsidR="00000000" w:rsidDel="00000000" w:rsidP="00000000" w:rsidRDefault="00000000" w:rsidRPr="00000000" w14:paraId="0000000B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Título del artículo: Disguising commercial intentions: Sponsorship disclosure practices of Mexican instamoms</w:t>
      </w:r>
    </w:p>
    <w:p w:rsidR="00000000" w:rsidDel="00000000" w:rsidP="00000000" w:rsidRDefault="00000000" w:rsidRPr="00000000" w14:paraId="0000000D">
      <w:pPr>
        <w:keepNext w:val="0"/>
        <w:keepLines w:val="1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60" w:right="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Media and Communication</w:t>
      </w:r>
    </w:p>
    <w:p w:rsidR="00000000" w:rsidDel="00000000" w:rsidP="00000000" w:rsidRDefault="00000000" w:rsidRPr="00000000" w14:paraId="0000000E">
      <w:pPr>
        <w:keepNext w:val="0"/>
        <w:keepLines w:val="1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60" w:right="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Fecha de publicación: 24 febrero 2022</w:t>
      </w:r>
    </w:p>
    <w:p w:rsidR="00000000" w:rsidDel="00000000" w:rsidP="00000000" w:rsidRDefault="00000000" w:rsidRPr="00000000" w14:paraId="0000000F">
      <w:pPr>
        <w:keepNext w:val="0"/>
        <w:keepLines w:val="1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60" w:right="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Autoras: Luisa Zozaya Durazo y Charo Sádaba Chalezquer</w:t>
      </w:r>
    </w:p>
    <w:p w:rsidR="00000000" w:rsidDel="00000000" w:rsidP="00000000" w:rsidRDefault="00000000" w:rsidRPr="00000000" w14:paraId="00000010">
      <w:pPr>
        <w:keepNext w:val="0"/>
        <w:keepLines w:val="1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60" w:right="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DOI: 10.17645/mc.v10i1.4640</w:t>
      </w:r>
    </w:p>
    <w:p w:rsidR="00000000" w:rsidDel="00000000" w:rsidP="00000000" w:rsidRDefault="00000000" w:rsidRPr="00000000" w14:paraId="00000011">
      <w:pPr>
        <w:keepNext w:val="0"/>
        <w:keepLines w:val="1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60" w:right="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Factor de impacto:</w:t>
      </w:r>
    </w:p>
    <w:p w:rsidR="00000000" w:rsidDel="00000000" w:rsidP="00000000" w:rsidRDefault="00000000" w:rsidRPr="00000000" w14:paraId="00000012">
      <w:pPr>
        <w:keepNext w:val="0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80" w:right="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3.043 Journal Citation Report (JCR).</w:t>
      </w:r>
    </w:p>
    <w:p w:rsidR="00000000" w:rsidDel="00000000" w:rsidP="00000000" w:rsidRDefault="00000000" w:rsidRPr="00000000" w14:paraId="00000013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60" w:right="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2022: 32(94) Communication (Q2)</w:t>
      </w:r>
    </w:p>
    <w:p w:rsidR="00000000" w:rsidDel="00000000" w:rsidP="00000000" w:rsidRDefault="00000000" w:rsidRPr="00000000" w14:paraId="00000014">
      <w:pPr>
        <w:keepNext w:val="0"/>
        <w:keepLines w:val="1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880" w:right="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0.865 Scimago Journal Rank (SJR)</w:t>
      </w:r>
    </w:p>
    <w:p w:rsidR="00000000" w:rsidDel="00000000" w:rsidP="00000000" w:rsidRDefault="00000000" w:rsidRPr="00000000" w14:paraId="00000015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60" w:right="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2022: 71(461), Communication (Q1)</w:t>
      </w:r>
    </w:p>
    <w:p w:rsidR="00000000" w:rsidDel="00000000" w:rsidP="00000000" w:rsidRDefault="00000000" w:rsidRPr="00000000" w14:paraId="00000016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 TESIS DE CLARA GONZÁLEZ-TOSSAT</w:t>
      </w:r>
    </w:p>
    <w:p w:rsidR="00000000" w:rsidDel="00000000" w:rsidP="00000000" w:rsidRDefault="00000000" w:rsidRPr="00000000" w14:paraId="00000019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 de la tesis: Globalised Online News: The Role of Digital Intermediaries in the Media Value Chain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”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Directores: Charo Sádaba Chalezquer y Andreas Veglis. Leída: 23 de noviembre de 2022. Sobresaliente Cum Laude.</w:t>
      </w:r>
    </w:p>
    <w:p w:rsidR="00000000" w:rsidDel="00000000" w:rsidP="00000000" w:rsidRDefault="00000000" w:rsidRPr="00000000" w14:paraId="0000001A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Lines w:val="1"/>
        <w:shd w:fill="ffffff" w:val="clear"/>
        <w:spacing w:line="240" w:lineRule="auto"/>
        <w:ind w:left="720" w:firstLine="72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Título del artículo: DNI’s DNA: Where Is Google’s Money in European Media?</w:t>
      </w:r>
    </w:p>
    <w:p w:rsidR="00000000" w:rsidDel="00000000" w:rsidP="00000000" w:rsidRDefault="00000000" w:rsidRPr="00000000" w14:paraId="0000001C">
      <w:pPr>
        <w:keepLines w:val="1"/>
        <w:numPr>
          <w:ilvl w:val="0"/>
          <w:numId w:val="17"/>
        </w:numPr>
        <w:shd w:fill="ffffff" w:val="clear"/>
        <w:spacing w:line="240" w:lineRule="auto"/>
        <w:ind w:left="216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Nombre de publicación: Sustainability</w:t>
      </w:r>
    </w:p>
    <w:p w:rsidR="00000000" w:rsidDel="00000000" w:rsidP="00000000" w:rsidRDefault="00000000" w:rsidRPr="00000000" w14:paraId="0000001D">
      <w:pPr>
        <w:keepLines w:val="1"/>
        <w:numPr>
          <w:ilvl w:val="0"/>
          <w:numId w:val="17"/>
        </w:numPr>
        <w:shd w:fill="ffffff" w:val="clear"/>
        <w:spacing w:line="240" w:lineRule="auto"/>
        <w:ind w:left="216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Fecha de publicación: 16/10/2021</w:t>
      </w:r>
    </w:p>
    <w:p w:rsidR="00000000" w:rsidDel="00000000" w:rsidP="00000000" w:rsidRDefault="00000000" w:rsidRPr="00000000" w14:paraId="0000001E">
      <w:pPr>
        <w:keepLines w:val="1"/>
        <w:numPr>
          <w:ilvl w:val="0"/>
          <w:numId w:val="17"/>
        </w:numPr>
        <w:shd w:fill="ffffff" w:val="clear"/>
        <w:spacing w:line="240" w:lineRule="auto"/>
        <w:ind w:left="216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Autoras: Clara González-Tosat, Charo Sádaba-Chalezquer</w:t>
      </w:r>
    </w:p>
    <w:p w:rsidR="00000000" w:rsidDel="00000000" w:rsidP="00000000" w:rsidRDefault="00000000" w:rsidRPr="00000000" w14:paraId="0000001F">
      <w:pPr>
        <w:keepLines w:val="1"/>
        <w:numPr>
          <w:ilvl w:val="0"/>
          <w:numId w:val="17"/>
        </w:numPr>
        <w:shd w:fill="ffffff" w:val="clear"/>
        <w:spacing w:line="240" w:lineRule="auto"/>
        <w:ind w:left="216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DOI: https://doi.org/10.3390/su132011457</w:t>
      </w:r>
    </w:p>
    <w:p w:rsidR="00000000" w:rsidDel="00000000" w:rsidP="00000000" w:rsidRDefault="00000000" w:rsidRPr="00000000" w14:paraId="00000020">
      <w:pPr>
        <w:keepLines w:val="1"/>
        <w:numPr>
          <w:ilvl w:val="0"/>
          <w:numId w:val="17"/>
        </w:numPr>
        <w:shd w:fill="ffffff" w:val="clear"/>
        <w:spacing w:line="240" w:lineRule="auto"/>
        <w:ind w:left="216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Factor de impacto:</w:t>
      </w:r>
    </w:p>
    <w:p w:rsidR="00000000" w:rsidDel="00000000" w:rsidP="00000000" w:rsidRDefault="00000000" w:rsidRPr="00000000" w14:paraId="00000021">
      <w:pPr>
        <w:keepLines w:val="1"/>
        <w:numPr>
          <w:ilvl w:val="0"/>
          <w:numId w:val="10"/>
        </w:numPr>
        <w:shd w:fill="ffffff" w:val="clear"/>
        <w:spacing w:line="240" w:lineRule="auto"/>
        <w:ind w:left="288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3.889 Journal Citation Report (JCR).</w:t>
      </w:r>
    </w:p>
    <w:p w:rsidR="00000000" w:rsidDel="00000000" w:rsidP="00000000" w:rsidRDefault="00000000" w:rsidRPr="00000000" w14:paraId="00000022">
      <w:pPr>
        <w:keepLines w:val="1"/>
        <w:shd w:fill="ffffff" w:val="clear"/>
        <w:spacing w:line="240" w:lineRule="auto"/>
        <w:ind w:left="288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2021: 133 (179), Environmental Sciences  (Q2); 57 (127), Environmental Studies (Q2).</w:t>
        <w:tab/>
        <w:tab/>
      </w:r>
    </w:p>
    <w:p w:rsidR="00000000" w:rsidDel="00000000" w:rsidP="00000000" w:rsidRDefault="00000000" w:rsidRPr="00000000" w14:paraId="00000023">
      <w:pPr>
        <w:keepLines w:val="1"/>
        <w:numPr>
          <w:ilvl w:val="0"/>
          <w:numId w:val="10"/>
        </w:numPr>
        <w:shd w:fill="ffffff" w:val="clear"/>
        <w:spacing w:line="240" w:lineRule="auto"/>
        <w:ind w:left="288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0.664 Scimago Journal Rank (SJR)</w:t>
      </w:r>
    </w:p>
    <w:p w:rsidR="00000000" w:rsidDel="00000000" w:rsidP="00000000" w:rsidRDefault="00000000" w:rsidRPr="00000000" w14:paraId="00000024">
      <w:pPr>
        <w:keepLines w:val="1"/>
        <w:shd w:fill="ffffff" w:val="clear"/>
        <w:spacing w:line="240" w:lineRule="auto"/>
        <w:ind w:left="288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2021: 166 (741), Geography, Planning and Development (Q1).</w:t>
      </w:r>
    </w:p>
    <w:p w:rsidR="00000000" w:rsidDel="00000000" w:rsidP="00000000" w:rsidRDefault="00000000" w:rsidRPr="00000000" w14:paraId="00000025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3. TESIS de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LUCÍA LORENTE</w:t>
      </w:r>
    </w:p>
    <w:p w:rsidR="00000000" w:rsidDel="00000000" w:rsidP="00000000" w:rsidRDefault="00000000" w:rsidRPr="00000000" w14:paraId="00000028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 de la tesis: Periodismo y series basadas en hechos reales: oportunidades y riesgos de la ficción. Leída 1 de septiembre de 2023. Directores Beatriz Gómez Baceiredo y Antonio Martínez Illán, Sobresaliente Cum Laude. Doctorado Internacional. </w:t>
      </w:r>
    </w:p>
    <w:p w:rsidR="00000000" w:rsidDel="00000000" w:rsidP="00000000" w:rsidRDefault="00000000" w:rsidRPr="00000000" w14:paraId="00000029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Título del artículo: Fiction as an ally to make journalism more believable: rape, trauma and secondary victimization in the Netflix miniseries ‘Unbelievable’</w:t>
      </w:r>
    </w:p>
    <w:p w:rsidR="00000000" w:rsidDel="00000000" w:rsidP="00000000" w:rsidRDefault="00000000" w:rsidRPr="00000000" w14:paraId="0000002B">
      <w:pPr>
        <w:keepNext w:val="0"/>
        <w:keepLines w:val="1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60" w:right="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Feminist Media Studies</w:t>
      </w:r>
    </w:p>
    <w:p w:rsidR="00000000" w:rsidDel="00000000" w:rsidP="00000000" w:rsidRDefault="00000000" w:rsidRPr="00000000" w14:paraId="0000002C">
      <w:pPr>
        <w:keepNext w:val="0"/>
        <w:keepLines w:val="1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60" w:right="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Fecha de publicación: 17/06/2022</w:t>
      </w:r>
    </w:p>
    <w:p w:rsidR="00000000" w:rsidDel="00000000" w:rsidP="00000000" w:rsidRDefault="00000000" w:rsidRPr="00000000" w14:paraId="0000002D">
      <w:pPr>
        <w:keepNext w:val="0"/>
        <w:keepLines w:val="1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60" w:right="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Autoras: Lucía Gastón Lorente y Beatriz Gómez Baceiredo</w:t>
      </w:r>
    </w:p>
    <w:p w:rsidR="00000000" w:rsidDel="00000000" w:rsidP="00000000" w:rsidRDefault="00000000" w:rsidRPr="00000000" w14:paraId="0000002E">
      <w:pPr>
        <w:keepNext w:val="0"/>
        <w:keepLines w:val="1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60" w:right="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Factor de Impacto:</w:t>
      </w:r>
    </w:p>
    <w:p w:rsidR="00000000" w:rsidDel="00000000" w:rsidP="00000000" w:rsidRDefault="00000000" w:rsidRPr="00000000" w14:paraId="0000002F">
      <w:pPr>
        <w:keepLines w:val="1"/>
        <w:numPr>
          <w:ilvl w:val="0"/>
          <w:numId w:val="6"/>
        </w:numPr>
        <w:shd w:fill="ffffff" w:val="clear"/>
        <w:spacing w:line="240" w:lineRule="auto"/>
        <w:ind w:left="288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1.953  Journal Citation Report (JCR).</w:t>
      </w:r>
    </w:p>
    <w:p w:rsidR="00000000" w:rsidDel="00000000" w:rsidP="00000000" w:rsidRDefault="00000000" w:rsidRPr="00000000" w14:paraId="00000030">
      <w:pPr>
        <w:keepLines w:val="1"/>
        <w:shd w:fill="ffffff" w:val="clear"/>
        <w:spacing w:line="240" w:lineRule="auto"/>
        <w:ind w:left="288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2022: 19 (44), Women Studies (Q2).</w:t>
        <w:tab/>
        <w:tab/>
      </w:r>
    </w:p>
    <w:p w:rsidR="00000000" w:rsidDel="00000000" w:rsidP="00000000" w:rsidRDefault="00000000" w:rsidRPr="00000000" w14:paraId="00000031">
      <w:pPr>
        <w:keepLines w:val="1"/>
        <w:numPr>
          <w:ilvl w:val="0"/>
          <w:numId w:val="6"/>
        </w:numPr>
        <w:shd w:fill="ffffff" w:val="clear"/>
        <w:spacing w:line="240" w:lineRule="auto"/>
        <w:ind w:left="288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0.82 Scimago Journal Rank (SJR)</w:t>
      </w:r>
    </w:p>
    <w:p w:rsidR="00000000" w:rsidDel="00000000" w:rsidP="00000000" w:rsidRDefault="00000000" w:rsidRPr="00000000" w14:paraId="00000032">
      <w:pPr>
        <w:keepLines w:val="1"/>
        <w:shd w:fill="ffffff" w:val="clear"/>
        <w:spacing w:line="240" w:lineRule="auto"/>
        <w:ind w:left="288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2022: 78 (461), Communication (Q1); 23/165, Gender Studies (Q1); 5 (600), Visual Arts and Performing Arts (Q1).</w:t>
      </w:r>
    </w:p>
    <w:p w:rsidR="00000000" w:rsidDel="00000000" w:rsidP="00000000" w:rsidRDefault="00000000" w:rsidRPr="00000000" w14:paraId="00000033">
      <w:pPr>
        <w:keepNext w:val="0"/>
        <w:keepLines w:val="1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60" w:right="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4. TESIS DE TATIANA PEREIRA-VILLAZÓN</w:t>
      </w:r>
    </w:p>
    <w:p w:rsidR="00000000" w:rsidDel="00000000" w:rsidP="00000000" w:rsidRDefault="00000000" w:rsidRPr="00000000" w14:paraId="00000036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Título de la tesis: La gestión de la marca corporativa en el sector audiovisual español. Leída. 21 de diciembre de 2022. Directoras: Idoia Portilla Manjón y Natalia Rodriguez Salcedo. Sobresaliente cum laude.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Lines w:val="1"/>
        <w:shd w:fill="ffffff" w:val="clear"/>
        <w:spacing w:line="240" w:lineRule="auto"/>
        <w:ind w:left="1440" w:firstLine="0"/>
        <w:jc w:val="both"/>
        <w:rPr>
          <w:rFonts w:ascii="Calibri" w:cs="Calibri" w:eastAsia="Calibri" w:hAnsi="Calibri"/>
          <w:b w:val="1"/>
          <w:color w:val="222222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Titulo del artículo: </w:t>
      </w:r>
      <w:hyperlink r:id="rId6">
        <w:r w:rsidDel="00000000" w:rsidR="00000000" w:rsidRPr="00000000">
          <w:rPr>
            <w:rFonts w:ascii="Calibri" w:cs="Calibri" w:eastAsia="Calibri" w:hAnsi="Calibri"/>
            <w:b w:val="1"/>
            <w:rtl w:val="0"/>
          </w:rPr>
          <w:t xml:space="preserve">La gestión de la marca del programa frente a la marca corporativa en redes sociales. Caso: La Casa de Papel</w:t>
        </w:r>
      </w:hyperlink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Lines w:val="1"/>
        <w:numPr>
          <w:ilvl w:val="0"/>
          <w:numId w:val="11"/>
        </w:numPr>
        <w:shd w:fill="ffffff" w:val="clear"/>
        <w:spacing w:line="240" w:lineRule="auto"/>
        <w:ind w:left="2160" w:hanging="360"/>
        <w:jc w:val="both"/>
        <w:rPr>
          <w:rFonts w:ascii="Calibri" w:cs="Calibri" w:eastAsia="Calibri" w:hAnsi="Calibri"/>
          <w:color w:val="222222"/>
          <w:u w:val="none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Revista: Estudios sobre el Mensaje Periodístico  </w:t>
      </w:r>
    </w:p>
    <w:p w:rsidR="00000000" w:rsidDel="00000000" w:rsidP="00000000" w:rsidRDefault="00000000" w:rsidRPr="00000000" w14:paraId="0000003A">
      <w:pPr>
        <w:keepLines w:val="1"/>
        <w:numPr>
          <w:ilvl w:val="0"/>
          <w:numId w:val="11"/>
        </w:numPr>
        <w:shd w:fill="ffffff" w:val="clear"/>
        <w:spacing w:line="240" w:lineRule="auto"/>
        <w:ind w:left="2160" w:hanging="360"/>
        <w:jc w:val="both"/>
        <w:rPr>
          <w:rFonts w:ascii="Calibri" w:cs="Calibri" w:eastAsia="Calibri" w:hAnsi="Calibri"/>
          <w:color w:val="222222"/>
          <w:u w:val="none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Fecha de Publicación: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020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Lines w:val="1"/>
        <w:numPr>
          <w:ilvl w:val="0"/>
          <w:numId w:val="11"/>
        </w:numPr>
        <w:shd w:fill="ffffff" w:val="clear"/>
        <w:spacing w:line="240" w:lineRule="auto"/>
        <w:ind w:left="2160" w:hanging="360"/>
        <w:jc w:val="both"/>
        <w:rPr>
          <w:rFonts w:ascii="Calibri" w:cs="Calibri" w:eastAsia="Calibri" w:hAnsi="Calibri"/>
          <w:color w:val="222222"/>
          <w:u w:val="none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Autoras: Pereira-Villazón T.; Portilla I. y Rodríguez</w:t>
      </w:r>
    </w:p>
    <w:p w:rsidR="00000000" w:rsidDel="00000000" w:rsidP="00000000" w:rsidRDefault="00000000" w:rsidRPr="00000000" w14:paraId="0000003C">
      <w:pPr>
        <w:keepLines w:val="1"/>
        <w:numPr>
          <w:ilvl w:val="0"/>
          <w:numId w:val="11"/>
        </w:numPr>
        <w:shd w:fill="ffffff" w:val="clear"/>
        <w:spacing w:line="240" w:lineRule="auto"/>
        <w:ind w:left="2160" w:hanging="360"/>
        <w:jc w:val="both"/>
        <w:rPr>
          <w:rFonts w:ascii="Calibri" w:cs="Calibri" w:eastAsia="Calibri" w:hAnsi="Calibri"/>
          <w:color w:val="222222"/>
          <w:u w:val="none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DOI: https://doi.org/10.1080/14680777.2022.2084633</w:t>
      </w:r>
    </w:p>
    <w:p w:rsidR="00000000" w:rsidDel="00000000" w:rsidP="00000000" w:rsidRDefault="00000000" w:rsidRPr="00000000" w14:paraId="0000003D">
      <w:pPr>
        <w:keepLines w:val="1"/>
        <w:numPr>
          <w:ilvl w:val="0"/>
          <w:numId w:val="11"/>
        </w:numPr>
        <w:shd w:fill="ffffff" w:val="clear"/>
        <w:spacing w:line="240" w:lineRule="auto"/>
        <w:ind w:left="2160" w:hanging="360"/>
        <w:jc w:val="both"/>
        <w:rPr>
          <w:rFonts w:ascii="Calibri" w:cs="Calibri" w:eastAsia="Calibri" w:hAnsi="Calibri"/>
          <w:color w:val="222222"/>
          <w:u w:val="none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Factor de Impacto:</w:t>
      </w:r>
    </w:p>
    <w:p w:rsidR="00000000" w:rsidDel="00000000" w:rsidP="00000000" w:rsidRDefault="00000000" w:rsidRPr="00000000" w14:paraId="0000003E">
      <w:pPr>
        <w:keepLines w:val="1"/>
        <w:numPr>
          <w:ilvl w:val="0"/>
          <w:numId w:val="14"/>
        </w:numPr>
        <w:shd w:fill="ffffff" w:val="clear"/>
        <w:spacing w:line="240" w:lineRule="auto"/>
        <w:ind w:left="288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0.252 Scimago Journal Rank (SJR)</w:t>
      </w:r>
    </w:p>
    <w:p w:rsidR="00000000" w:rsidDel="00000000" w:rsidP="00000000" w:rsidRDefault="00000000" w:rsidRPr="00000000" w14:paraId="0000003F">
      <w:pPr>
        <w:keepLines w:val="1"/>
        <w:shd w:fill="ffffff" w:val="clear"/>
        <w:spacing w:line="240" w:lineRule="auto"/>
        <w:ind w:left="288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2020: 225 (508), Communication (Q3)</w:t>
      </w:r>
    </w:p>
    <w:p w:rsidR="00000000" w:rsidDel="00000000" w:rsidP="00000000" w:rsidRDefault="00000000" w:rsidRPr="00000000" w14:paraId="00000040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 TESIS DE SILVIA BLAS RIESGO</w:t>
      </w:r>
    </w:p>
    <w:p w:rsidR="00000000" w:rsidDel="00000000" w:rsidP="00000000" w:rsidRDefault="00000000" w:rsidRPr="00000000" w14:paraId="00000042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line="240" w:lineRule="auto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Título de la tesis: The consumption side of sustainable fashion: Understanding the attitude-behavior gap among Spanish consumers. Directores: Mónica Codina Blasco y Teresa Sádaba. Leída 10 de junio de 2022. Sobresaliente cum laude. Doctorado Internacional.</w:t>
      </w:r>
    </w:p>
    <w:p w:rsidR="00000000" w:rsidDel="00000000" w:rsidP="00000000" w:rsidRDefault="00000000" w:rsidRPr="00000000" w14:paraId="00000043">
      <w:pPr>
        <w:keepLines w:val="1"/>
        <w:shd w:fill="ffffff" w:val="clear"/>
        <w:spacing w:line="240" w:lineRule="auto"/>
        <w:ind w:left="0" w:firstLine="0"/>
        <w:jc w:val="both"/>
        <w:rPr>
          <w:rFonts w:ascii="Calibri" w:cs="Calibri" w:eastAsia="Calibri" w:hAnsi="Calibri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Lines w:val="1"/>
        <w:shd w:fill="ffffff" w:val="clear"/>
        <w:spacing w:line="240" w:lineRule="auto"/>
        <w:ind w:left="1440" w:firstLine="0"/>
        <w:jc w:val="both"/>
        <w:rPr>
          <w:rFonts w:ascii="Calibri" w:cs="Calibri" w:eastAsia="Calibri" w:hAnsi="Calibri"/>
          <w:b w:val="1"/>
          <w:color w:val="222222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Título del artículo: Does Sustainability Matter to Fashion Consumers? Clustering Fashion Consumers and Their Purchasing Behavior In Spain. Fashion Practice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Lines w:val="1"/>
        <w:numPr>
          <w:ilvl w:val="0"/>
          <w:numId w:val="9"/>
        </w:numPr>
        <w:shd w:fill="ffffff" w:val="clear"/>
        <w:spacing w:line="240" w:lineRule="auto"/>
        <w:ind w:left="2160" w:hanging="360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Revista: The Journal of Design, Creative Process &amp; The Fashion Industry</w:t>
      </w:r>
    </w:p>
    <w:p w:rsidR="00000000" w:rsidDel="00000000" w:rsidP="00000000" w:rsidRDefault="00000000" w:rsidRPr="00000000" w14:paraId="00000046">
      <w:pPr>
        <w:keepLines w:val="1"/>
        <w:numPr>
          <w:ilvl w:val="0"/>
          <w:numId w:val="9"/>
        </w:numPr>
        <w:shd w:fill="ffffff" w:val="clear"/>
        <w:spacing w:line="240" w:lineRule="auto"/>
        <w:ind w:left="2160" w:hanging="360"/>
        <w:jc w:val="both"/>
        <w:rPr>
          <w:rFonts w:ascii="Calibri" w:cs="Calibri" w:eastAsia="Calibri" w:hAnsi="Calibri"/>
          <w:color w:val="222222"/>
          <w:u w:val="none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Fecha de publicación: 7/4/2022</w:t>
      </w:r>
    </w:p>
    <w:p w:rsidR="00000000" w:rsidDel="00000000" w:rsidP="00000000" w:rsidRDefault="00000000" w:rsidRPr="00000000" w14:paraId="00000047">
      <w:pPr>
        <w:keepLines w:val="1"/>
        <w:numPr>
          <w:ilvl w:val="0"/>
          <w:numId w:val="9"/>
        </w:numPr>
        <w:shd w:fill="ffffff" w:val="clear"/>
        <w:spacing w:line="240" w:lineRule="auto"/>
        <w:ind w:left="2160" w:hanging="360"/>
        <w:jc w:val="both"/>
        <w:rPr>
          <w:rFonts w:ascii="Calibri" w:cs="Calibri" w:eastAsia="Calibri" w:hAnsi="Calibri"/>
          <w:color w:val="222222"/>
          <w:u w:val="none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Autoras: Riesgo, S. B., Codina, M. &amp; Sádaba T.</w:t>
      </w:r>
    </w:p>
    <w:p w:rsidR="00000000" w:rsidDel="00000000" w:rsidP="00000000" w:rsidRDefault="00000000" w:rsidRPr="00000000" w14:paraId="00000048">
      <w:pPr>
        <w:keepLines w:val="1"/>
        <w:numPr>
          <w:ilvl w:val="0"/>
          <w:numId w:val="9"/>
        </w:numPr>
        <w:shd w:fill="ffffff" w:val="clear"/>
        <w:spacing w:line="240" w:lineRule="auto"/>
        <w:ind w:left="2160" w:hanging="360"/>
        <w:jc w:val="both"/>
        <w:rPr>
          <w:rFonts w:ascii="Calibri" w:cs="Calibri" w:eastAsia="Calibri" w:hAnsi="Calibri"/>
          <w:color w:val="222222"/>
          <w:u w:val="none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DOI: https://doi.org/10.1080/17569370.2022.2051297</w:t>
      </w:r>
    </w:p>
    <w:p w:rsidR="00000000" w:rsidDel="00000000" w:rsidP="00000000" w:rsidRDefault="00000000" w:rsidRPr="00000000" w14:paraId="00000049">
      <w:pPr>
        <w:keepLines w:val="1"/>
        <w:numPr>
          <w:ilvl w:val="0"/>
          <w:numId w:val="9"/>
        </w:numPr>
        <w:shd w:fill="ffffff" w:val="clear"/>
        <w:spacing w:line="240" w:lineRule="auto"/>
        <w:ind w:left="2160" w:hanging="360"/>
        <w:jc w:val="both"/>
        <w:rPr>
          <w:rFonts w:ascii="Calibri" w:cs="Calibri" w:eastAsia="Calibri" w:hAnsi="Calibri"/>
          <w:color w:val="222222"/>
          <w:u w:val="none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Factor de Impacto:</w:t>
      </w:r>
    </w:p>
    <w:p w:rsidR="00000000" w:rsidDel="00000000" w:rsidP="00000000" w:rsidRDefault="00000000" w:rsidRPr="00000000" w14:paraId="0000004A">
      <w:pPr>
        <w:keepLines w:val="1"/>
        <w:numPr>
          <w:ilvl w:val="0"/>
          <w:numId w:val="13"/>
        </w:numPr>
        <w:shd w:fill="ffffff" w:val="clear"/>
        <w:spacing w:line="240" w:lineRule="auto"/>
        <w:ind w:left="2880" w:hanging="360"/>
        <w:jc w:val="both"/>
        <w:rPr>
          <w:rFonts w:ascii="Calibri" w:cs="Calibri" w:eastAsia="Calibri" w:hAnsi="Calibri"/>
          <w:color w:val="222222"/>
          <w:u w:val="none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Impact Factor 0.299 Scimago Journal Rank (SJR)</w:t>
      </w:r>
    </w:p>
    <w:p w:rsidR="00000000" w:rsidDel="00000000" w:rsidP="00000000" w:rsidRDefault="00000000" w:rsidRPr="00000000" w14:paraId="0000004B">
      <w:pPr>
        <w:keepLines w:val="1"/>
        <w:shd w:fill="ffffff" w:val="clear"/>
        <w:spacing w:line="240" w:lineRule="auto"/>
        <w:ind w:left="2880" w:firstLine="0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Ranking 2022: 213 (1134), Cultural Studies (Q1); 53 (600) Visual Arts and Performing Arts (Q1). </w:t>
      </w:r>
    </w:p>
    <w:p w:rsidR="00000000" w:rsidDel="00000000" w:rsidP="00000000" w:rsidRDefault="00000000" w:rsidRPr="00000000" w14:paraId="0000004C">
      <w:pPr>
        <w:keepLines w:val="1"/>
        <w:shd w:fill="ffffff" w:val="clear"/>
        <w:spacing w:line="240" w:lineRule="auto"/>
        <w:ind w:left="2880" w:firstLine="0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 MARÍA CRISTINA MARTÍNEZ BRAVO</w:t>
      </w:r>
    </w:p>
    <w:p w:rsidR="00000000" w:rsidDel="00000000" w:rsidP="00000000" w:rsidRDefault="00000000" w:rsidRPr="00000000" w14:paraId="0000004E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Título de la tesis: Digital literacy: a multidimensional view of digital competencies in 21st century skills frameworks. Leída: 20 de diciembre de 2022. Directores: Charo Sádaba Chalezquer y Javier Serrano Puche. Sobresaliente cum laude</w:t>
      </w:r>
    </w:p>
    <w:p w:rsidR="00000000" w:rsidDel="00000000" w:rsidP="00000000" w:rsidRDefault="00000000" w:rsidRPr="00000000" w14:paraId="0000004F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firstLine="0"/>
        <w:jc w:val="both"/>
        <w:rPr>
          <w:rFonts w:ascii="Calibri" w:cs="Calibri" w:eastAsia="Calibri" w:hAnsi="Calibri"/>
          <w:b w:val="1"/>
          <w:color w:val="222222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Título del artículo: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Fifty years of digital literacy studies: A meta-research for interdisciplinary and conceptual convergence</w:t>
      </w:r>
    </w:p>
    <w:p w:rsidR="00000000" w:rsidDel="00000000" w:rsidP="00000000" w:rsidRDefault="00000000" w:rsidRPr="00000000" w14:paraId="00000051">
      <w:pPr>
        <w:keepNext w:val="0"/>
        <w:keepLines w:val="1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60" w:right="0" w:hanging="360"/>
        <w:jc w:val="both"/>
        <w:rPr>
          <w:rFonts w:ascii="Calibri" w:cs="Calibri" w:eastAsia="Calibri" w:hAnsi="Calibri"/>
          <w:color w:val="222222"/>
          <w:u w:val="none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Revista: 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Profesional de la información</w:t>
      </w:r>
    </w:p>
    <w:p w:rsidR="00000000" w:rsidDel="00000000" w:rsidP="00000000" w:rsidRDefault="00000000" w:rsidRPr="00000000" w14:paraId="00000052">
      <w:pPr>
        <w:keepNext w:val="0"/>
        <w:keepLines w:val="1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60" w:right="0" w:hanging="360"/>
        <w:jc w:val="both"/>
        <w:rPr>
          <w:rFonts w:ascii="Calibri" w:cs="Calibri" w:eastAsia="Calibri" w:hAnsi="Calibri"/>
          <w:color w:val="222222"/>
          <w:u w:val="none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Fecha de publicación: 06/08/2020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Lines w:val="1"/>
        <w:numPr>
          <w:ilvl w:val="0"/>
          <w:numId w:val="5"/>
        </w:numPr>
        <w:shd w:fill="ffffff" w:val="clear"/>
        <w:spacing w:line="240" w:lineRule="auto"/>
        <w:ind w:left="216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Autoras María-Cristina Martínez-Bravo, Charo Sádaba-Chalezquer, Javier Serrano-Puche</w:t>
      </w:r>
    </w:p>
    <w:p w:rsidR="00000000" w:rsidDel="00000000" w:rsidP="00000000" w:rsidRDefault="00000000" w:rsidRPr="00000000" w14:paraId="00000054">
      <w:pPr>
        <w:keepLines w:val="1"/>
        <w:numPr>
          <w:ilvl w:val="0"/>
          <w:numId w:val="5"/>
        </w:numPr>
        <w:shd w:fill="ffffff" w:val="clear"/>
        <w:spacing w:line="240" w:lineRule="auto"/>
        <w:ind w:left="216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DOI: https://doi.org/10.3145/epi.2020.jul.28</w:t>
      </w:r>
    </w:p>
    <w:p w:rsidR="00000000" w:rsidDel="00000000" w:rsidP="00000000" w:rsidRDefault="00000000" w:rsidRPr="00000000" w14:paraId="00000055">
      <w:pPr>
        <w:keepLines w:val="1"/>
        <w:numPr>
          <w:ilvl w:val="0"/>
          <w:numId w:val="5"/>
        </w:numPr>
        <w:shd w:fill="ffffff" w:val="clear"/>
        <w:spacing w:line="240" w:lineRule="auto"/>
        <w:ind w:left="216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Factor de Impacto</w:t>
      </w:r>
    </w:p>
    <w:p w:rsidR="00000000" w:rsidDel="00000000" w:rsidP="00000000" w:rsidRDefault="00000000" w:rsidRPr="00000000" w14:paraId="00000056">
      <w:pPr>
        <w:keepLines w:val="1"/>
        <w:numPr>
          <w:ilvl w:val="0"/>
          <w:numId w:val="16"/>
        </w:numPr>
        <w:shd w:fill="ffffff" w:val="clear"/>
        <w:spacing w:line="240" w:lineRule="auto"/>
        <w:ind w:left="288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2.253  Journal Citation Report (JCR)</w:t>
      </w:r>
    </w:p>
    <w:p w:rsidR="00000000" w:rsidDel="00000000" w:rsidP="00000000" w:rsidRDefault="00000000" w:rsidRPr="00000000" w14:paraId="00000057">
      <w:pPr>
        <w:keepLines w:val="1"/>
        <w:shd w:fill="ffffff" w:val="clear"/>
        <w:spacing w:line="240" w:lineRule="auto"/>
        <w:ind w:left="288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2020: 55 (94), Communication (Q3); 44 (86); INFORMATION SCIENCE &amp; LIBRARY SCIENCE (Q3).</w:t>
      </w:r>
    </w:p>
    <w:p w:rsidR="00000000" w:rsidDel="00000000" w:rsidP="00000000" w:rsidRDefault="00000000" w:rsidRPr="00000000" w14:paraId="00000058">
      <w:pPr>
        <w:keepLines w:val="1"/>
        <w:numPr>
          <w:ilvl w:val="0"/>
          <w:numId w:val="2"/>
        </w:numPr>
        <w:shd w:fill="ffffff" w:val="clear"/>
        <w:spacing w:line="240" w:lineRule="auto"/>
        <w:ind w:left="2880" w:hanging="360"/>
        <w:jc w:val="both"/>
        <w:rPr>
          <w:rFonts w:ascii="Calibri" w:cs="Calibri" w:eastAsia="Calibri" w:hAnsi="Calibri"/>
          <w:color w:val="222222"/>
          <w:u w:val="none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Impact Factor 0.698 Scimago Journal Rank (SJR)</w:t>
      </w:r>
    </w:p>
    <w:p w:rsidR="00000000" w:rsidDel="00000000" w:rsidP="00000000" w:rsidRDefault="00000000" w:rsidRPr="00000000" w14:paraId="00000059">
      <w:pPr>
        <w:keepLines w:val="1"/>
        <w:shd w:fill="ffffff" w:val="clear"/>
        <w:spacing w:line="240" w:lineRule="auto"/>
        <w:ind w:left="2880" w:firstLine="0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Ranking 2020: 94(508), Communication (Q1); 43(1103) Cultural Studies (Q1); 86(1162) Information Systems (Q1).</w:t>
      </w:r>
    </w:p>
    <w:p w:rsidR="00000000" w:rsidDel="00000000" w:rsidP="00000000" w:rsidRDefault="00000000" w:rsidRPr="00000000" w14:paraId="0000005A">
      <w:pPr>
        <w:keepLines w:val="1"/>
        <w:shd w:fill="ffffff" w:val="clear"/>
        <w:spacing w:line="240" w:lineRule="auto"/>
        <w:ind w:left="2880" w:firstLine="0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7. LUIS SANGIL</w:t>
      </w:r>
    </w:p>
    <w:p w:rsidR="00000000" w:rsidDel="00000000" w:rsidP="00000000" w:rsidRDefault="00000000" w:rsidRPr="00000000" w14:paraId="0000005D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Título de la tesis: La adaptación como modo de supervivencia en un mercado en formación. El caso de elmundo.es 1996-2020. Directores: Alfonso Sánchez-Tabernero y Fco. Javier Pérez Latre. Leída: 2 de noviembre de 2020. Sobresaliente cum laude.</w:t>
      </w:r>
    </w:p>
    <w:p w:rsidR="00000000" w:rsidDel="00000000" w:rsidP="00000000" w:rsidRDefault="00000000" w:rsidRPr="00000000" w14:paraId="0000005E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firstLine="0"/>
        <w:jc w:val="both"/>
        <w:rPr>
          <w:rFonts w:ascii="Calibri" w:cs="Calibri" w:eastAsia="Calibri" w:hAnsi="Calibri"/>
          <w:b w:val="1"/>
          <w:color w:val="222222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Título del artículo: Monetization of digital newspapers: Experimentation with brand extension and buying influence</w:t>
      </w:r>
    </w:p>
    <w:p w:rsidR="00000000" w:rsidDel="00000000" w:rsidP="00000000" w:rsidRDefault="00000000" w:rsidRPr="00000000" w14:paraId="00000060">
      <w:pPr>
        <w:keepNext w:val="0"/>
        <w:keepLines w:val="1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60" w:right="0" w:hanging="360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Revista: El Profesional de la Información</w:t>
      </w:r>
    </w:p>
    <w:p w:rsidR="00000000" w:rsidDel="00000000" w:rsidP="00000000" w:rsidRDefault="00000000" w:rsidRPr="00000000" w14:paraId="00000061">
      <w:pPr>
        <w:keepNext w:val="0"/>
        <w:keepLines w:val="1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60" w:right="0" w:hanging="360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Autores: Sangil L., Campos-Freire F. y Pérez-Latre, F.J.</w:t>
      </w:r>
    </w:p>
    <w:p w:rsidR="00000000" w:rsidDel="00000000" w:rsidP="00000000" w:rsidRDefault="00000000" w:rsidRPr="00000000" w14:paraId="00000062">
      <w:pPr>
        <w:keepNext w:val="0"/>
        <w:keepLines w:val="1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60" w:right="0" w:hanging="360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DOI: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https://doi.org/10.3145/epi.2023.ene.15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1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60" w:right="0" w:hanging="360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Fecha de Publicación: 19/01/2023</w:t>
      </w:r>
    </w:p>
    <w:p w:rsidR="00000000" w:rsidDel="00000000" w:rsidP="00000000" w:rsidRDefault="00000000" w:rsidRPr="00000000" w14:paraId="00000064">
      <w:pPr>
        <w:keepNext w:val="0"/>
        <w:keepLines w:val="1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160" w:right="0" w:hanging="360"/>
        <w:jc w:val="both"/>
        <w:rPr>
          <w:rFonts w:ascii="Calibri" w:cs="Calibri" w:eastAsia="Calibri" w:hAnsi="Calibri"/>
          <w:color w:val="222222"/>
          <w:u w:val="none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Factor de Impacto:</w:t>
      </w:r>
    </w:p>
    <w:p w:rsidR="00000000" w:rsidDel="00000000" w:rsidP="00000000" w:rsidRDefault="00000000" w:rsidRPr="00000000" w14:paraId="00000065">
      <w:pPr>
        <w:keepLines w:val="1"/>
        <w:numPr>
          <w:ilvl w:val="0"/>
          <w:numId w:val="7"/>
        </w:numPr>
        <w:shd w:fill="ffffff" w:val="clear"/>
        <w:spacing w:line="240" w:lineRule="auto"/>
        <w:ind w:left="288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3.596  Journal Citation Report (JCR).</w:t>
      </w:r>
    </w:p>
    <w:p w:rsidR="00000000" w:rsidDel="00000000" w:rsidP="00000000" w:rsidRDefault="00000000" w:rsidRPr="00000000" w14:paraId="00000066">
      <w:pPr>
        <w:keepLines w:val="1"/>
        <w:shd w:fill="ffffff" w:val="clear"/>
        <w:spacing w:line="240" w:lineRule="auto"/>
        <w:ind w:left="288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2023: 129 (94), Communication (Q2); 31 (84)  INFORMATION SCIENCE &amp; LIBRARY SCIENCE (Q2).</w:t>
      </w:r>
    </w:p>
    <w:p w:rsidR="00000000" w:rsidDel="00000000" w:rsidP="00000000" w:rsidRDefault="00000000" w:rsidRPr="00000000" w14:paraId="00000067">
      <w:pPr>
        <w:keepLines w:val="1"/>
        <w:numPr>
          <w:ilvl w:val="0"/>
          <w:numId w:val="12"/>
        </w:numPr>
        <w:shd w:fill="ffffff" w:val="clear"/>
        <w:spacing w:line="240" w:lineRule="auto"/>
        <w:ind w:left="288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0.872, Scimago Journal Rank (SJR)</w:t>
      </w:r>
    </w:p>
    <w:p w:rsidR="00000000" w:rsidDel="00000000" w:rsidP="00000000" w:rsidRDefault="00000000" w:rsidRPr="00000000" w14:paraId="00000068">
      <w:pPr>
        <w:keepLines w:val="1"/>
        <w:shd w:fill="ffffff" w:val="clear"/>
        <w:spacing w:line="240" w:lineRule="auto"/>
        <w:ind w:left="2880" w:firstLine="0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2023: 70 (461), Communication (Q1); 28 (1134) Cultural Studies (Q1); 90 (361) Information Systems (Q1).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firstLine="0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Lines w:val="1"/>
        <w:tabs>
          <w:tab w:val="left" w:leader="none" w:pos="993"/>
          <w:tab w:val="left" w:leader="none" w:pos="1276"/>
        </w:tabs>
        <w:spacing w:line="240" w:lineRule="auto"/>
        <w:ind w:left="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8. MARIA FERNANDA NOVOA</w:t>
      </w:r>
    </w:p>
    <w:p w:rsidR="00000000" w:rsidDel="00000000" w:rsidP="00000000" w:rsidRDefault="00000000" w:rsidRPr="00000000" w14:paraId="0000006C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 de la tesis: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La influencia de las "workplace TV drama series" en las expectativas sociales y profesionales acerca de la labor del periodista televisivo. El caso de The Newsroom (HBO, 2012-2014). Directores: José Javier Sánchez Aranda y Javier Serrano Puche. Leída 5 de julio de 2021. Sobresaliente Cum Laude. Doctorado Internacional.</w:t>
      </w:r>
    </w:p>
    <w:p w:rsidR="00000000" w:rsidDel="00000000" w:rsidP="00000000" w:rsidRDefault="00000000" w:rsidRPr="00000000" w14:paraId="0000006D">
      <w:pPr>
        <w:keepLines w:val="1"/>
        <w:shd w:fill="ffffff" w:val="clear"/>
        <w:spacing w:line="240" w:lineRule="auto"/>
        <w:ind w:left="1440" w:firstLine="0"/>
        <w:jc w:val="both"/>
        <w:rPr>
          <w:rFonts w:ascii="Calibri" w:cs="Calibri" w:eastAsia="Calibri" w:hAnsi="Calibri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Lines w:val="1"/>
        <w:shd w:fill="ffffff" w:val="clear"/>
        <w:spacing w:line="240" w:lineRule="auto"/>
        <w:ind w:left="144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Título del capítulo de li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bro: T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he emotional response of Game of Thrones fans. Speech and analysis of audience in Spain. </w:t>
      </w:r>
    </w:p>
    <w:p w:rsidR="00000000" w:rsidDel="00000000" w:rsidP="00000000" w:rsidRDefault="00000000" w:rsidRPr="00000000" w14:paraId="0000006F">
      <w:pPr>
        <w:keepLines w:val="1"/>
        <w:numPr>
          <w:ilvl w:val="0"/>
          <w:numId w:val="18"/>
        </w:numPr>
        <w:shd w:fill="ffffff" w:val="clear"/>
        <w:spacing w:line="240" w:lineRule="auto"/>
        <w:ind w:left="216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Sánchez-Aranda, J. J.; Novoa-Jaso, M. F. </w:t>
      </w:r>
    </w:p>
    <w:p w:rsidR="00000000" w:rsidDel="00000000" w:rsidP="00000000" w:rsidRDefault="00000000" w:rsidRPr="00000000" w14:paraId="00000070">
      <w:pPr>
        <w:keepLines w:val="1"/>
        <w:numPr>
          <w:ilvl w:val="0"/>
          <w:numId w:val="18"/>
        </w:numPr>
        <w:shd w:fill="ffffff" w:val="clear"/>
        <w:spacing w:line="240" w:lineRule="auto"/>
        <w:ind w:left="216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2019</w:t>
      </w:r>
    </w:p>
    <w:p w:rsidR="00000000" w:rsidDel="00000000" w:rsidP="00000000" w:rsidRDefault="00000000" w:rsidRPr="00000000" w14:paraId="00000071">
      <w:pPr>
        <w:keepLines w:val="1"/>
        <w:numPr>
          <w:ilvl w:val="0"/>
          <w:numId w:val="22"/>
        </w:numPr>
        <w:shd w:fill="ffffff" w:val="clear"/>
        <w:spacing w:line="240" w:lineRule="auto"/>
        <w:ind w:left="216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Libro: Audiovisual content, narratives and media literacy</w:t>
      </w:r>
    </w:p>
    <w:p w:rsidR="00000000" w:rsidDel="00000000" w:rsidP="00000000" w:rsidRDefault="00000000" w:rsidRPr="00000000" w14:paraId="00000072">
      <w:pPr>
        <w:keepLines w:val="1"/>
        <w:numPr>
          <w:ilvl w:val="0"/>
          <w:numId w:val="22"/>
        </w:numPr>
        <w:shd w:fill="ffffff" w:val="clear"/>
        <w:spacing w:line="240" w:lineRule="auto"/>
        <w:ind w:left="216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Páginas: 15-25</w:t>
      </w:r>
    </w:p>
    <w:p w:rsidR="00000000" w:rsidDel="00000000" w:rsidP="00000000" w:rsidRDefault="00000000" w:rsidRPr="00000000" w14:paraId="00000073">
      <w:pPr>
        <w:keepLines w:val="1"/>
        <w:numPr>
          <w:ilvl w:val="0"/>
          <w:numId w:val="22"/>
        </w:numPr>
        <w:shd w:fill="ffffff" w:val="clear"/>
        <w:spacing w:line="240" w:lineRule="auto"/>
        <w:ind w:left="216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Editorial: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MCGRAW-HILL</w:t>
      </w:r>
    </w:p>
    <w:p w:rsidR="00000000" w:rsidDel="00000000" w:rsidP="00000000" w:rsidRDefault="00000000" w:rsidRPr="00000000" w14:paraId="00000074">
      <w:pPr>
        <w:keepLines w:val="1"/>
        <w:numPr>
          <w:ilvl w:val="0"/>
          <w:numId w:val="22"/>
        </w:numPr>
        <w:shd w:fill="ffffff" w:val="clear"/>
        <w:spacing w:line="240" w:lineRule="auto"/>
        <w:ind w:left="216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Factor de Impacto:</w:t>
      </w:r>
    </w:p>
    <w:p w:rsidR="00000000" w:rsidDel="00000000" w:rsidP="00000000" w:rsidRDefault="00000000" w:rsidRPr="00000000" w14:paraId="00000075">
      <w:pPr>
        <w:keepLines w:val="1"/>
        <w:numPr>
          <w:ilvl w:val="0"/>
          <w:numId w:val="4"/>
        </w:numPr>
        <w:tabs>
          <w:tab w:val="left" w:leader="none" w:pos="993"/>
          <w:tab w:val="left" w:leader="none" w:pos="1276"/>
        </w:tabs>
        <w:spacing w:line="240" w:lineRule="auto"/>
        <w:ind w:left="288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Scholarly Publisher Indicators (SPI): La editorial McGraw Hill en la que se publica el capítulo ocupa el número 4 en el ranking de editoriales españolas (de un total de 99) con un ICEE de 541; y el número 6 en el ranking de editoriales extranjeras (de un total de 97) con un ICEE de 416</w:t>
      </w:r>
      <w:r w:rsidDel="00000000" w:rsidR="00000000" w:rsidRPr="00000000">
        <w:rPr>
          <w:rFonts w:ascii="Calibri" w:cs="Calibri" w:eastAsia="Calibri" w:hAnsi="Calibri"/>
          <w:shd w:fill="f7f7f7" w:val="clear"/>
          <w:rtl w:val="0"/>
        </w:rPr>
        <w:t xml:space="preserve">. </w:t>
      </w:r>
    </w:p>
    <w:p w:rsidR="00000000" w:rsidDel="00000000" w:rsidP="00000000" w:rsidRDefault="00000000" w:rsidRPr="00000000" w14:paraId="00000076">
      <w:pPr>
        <w:keepLines w:val="1"/>
        <w:numPr>
          <w:ilvl w:val="0"/>
          <w:numId w:val="4"/>
        </w:numPr>
        <w:tabs>
          <w:tab w:val="left" w:leader="none" w:pos="993"/>
          <w:tab w:val="left" w:leader="none" w:pos="1276"/>
        </w:tabs>
        <w:spacing w:line="240" w:lineRule="auto"/>
        <w:ind w:left="2880" w:hanging="360"/>
        <w:jc w:val="both"/>
        <w:rPr>
          <w:rFonts w:ascii="Calibri" w:cs="Calibri" w:eastAsia="Calibri" w:hAnsi="Calibri"/>
          <w:shd w:fill="f7f7f7" w:val="clear"/>
        </w:rPr>
      </w:pPr>
      <w:r w:rsidDel="00000000" w:rsidR="00000000" w:rsidRPr="00000000">
        <w:rPr>
          <w:rFonts w:ascii="Calibri" w:cs="Calibri" w:eastAsia="Calibri" w:hAnsi="Calibri"/>
          <w:shd w:fill="f7f7f7" w:val="clear"/>
          <w:rtl w:val="0"/>
        </w:rPr>
        <w:t xml:space="preserve">En el área de Comunicación se sitúa en el lugar número 12 por número de inclusiones según el </w:t>
      </w:r>
      <w:r w:rsidDel="00000000" w:rsidR="00000000" w:rsidRPr="00000000">
        <w:rPr>
          <w:rFonts w:ascii="Calibri" w:cs="Calibri" w:eastAsia="Calibri" w:hAnsi="Calibri"/>
          <w:i w:val="1"/>
          <w:shd w:fill="f7f7f7" w:val="clear"/>
          <w:rtl w:val="0"/>
        </w:rPr>
        <w:t xml:space="preserve">Book Publishers Library Metrics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Lines w:val="1"/>
        <w:shd w:fill="ffffff" w:val="clear"/>
        <w:spacing w:line="240" w:lineRule="auto"/>
        <w:ind w:left="288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Lines w:val="1"/>
        <w:tabs>
          <w:tab w:val="left" w:leader="none" w:pos="993"/>
          <w:tab w:val="left" w:leader="none" w:pos="1276"/>
        </w:tabs>
        <w:spacing w:line="240" w:lineRule="auto"/>
        <w:ind w:left="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9. DAVID KIMBER</w:t>
      </w:r>
    </w:p>
    <w:p w:rsidR="00000000" w:rsidDel="00000000" w:rsidP="00000000" w:rsidRDefault="00000000" w:rsidRPr="00000000" w14:paraId="0000007A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1276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Título de la tesis: Desarrollo y validación de una escala para medir la calidad de productos televisivos. Directora: Mercedes Medina Laverón y Codirectora Teresa Nozal Cantarero. Leída el 22 de febrero de 2019. Sobresaliente Cum Laude</w:t>
      </w:r>
    </w:p>
    <w:p w:rsidR="00000000" w:rsidDel="00000000" w:rsidP="00000000" w:rsidRDefault="00000000" w:rsidRPr="00000000" w14:paraId="0000007B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1276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color w:val="0f243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Lines w:val="1"/>
        <w:shd w:fill="ffffff" w:val="clear"/>
        <w:spacing w:line="240" w:lineRule="auto"/>
        <w:ind w:left="144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Título del artículo: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Production values as program quality signals in Spanish linear TV: 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comparison of two periods</w:t>
      </w:r>
    </w:p>
    <w:p w:rsidR="00000000" w:rsidDel="00000000" w:rsidP="00000000" w:rsidRDefault="00000000" w:rsidRPr="00000000" w14:paraId="0000007D">
      <w:pPr>
        <w:keepLines w:val="1"/>
        <w:numPr>
          <w:ilvl w:val="0"/>
          <w:numId w:val="8"/>
        </w:numPr>
        <w:shd w:fill="ffffff" w:val="clear"/>
        <w:spacing w:line="240" w:lineRule="auto"/>
        <w:ind w:left="216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Communication &amp; Society</w:t>
      </w:r>
    </w:p>
    <w:p w:rsidR="00000000" w:rsidDel="00000000" w:rsidP="00000000" w:rsidRDefault="00000000" w:rsidRPr="00000000" w14:paraId="0000007E">
      <w:pPr>
        <w:keepLines w:val="1"/>
        <w:numPr>
          <w:ilvl w:val="0"/>
          <w:numId w:val="8"/>
        </w:numPr>
        <w:shd w:fill="ffffff" w:val="clear"/>
        <w:spacing w:line="240" w:lineRule="auto"/>
        <w:ind w:left="216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Kimber, D., &amp; Guerrero, E. (2022)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Lines w:val="1"/>
        <w:numPr>
          <w:ilvl w:val="0"/>
          <w:numId w:val="8"/>
        </w:numPr>
        <w:shd w:fill="ffffff" w:val="clear"/>
        <w:spacing w:line="240" w:lineRule="auto"/>
        <w:ind w:left="216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Fecha de Publicación: 2022</w:t>
      </w:r>
    </w:p>
    <w:p w:rsidR="00000000" w:rsidDel="00000000" w:rsidP="00000000" w:rsidRDefault="00000000" w:rsidRPr="00000000" w14:paraId="00000080">
      <w:pPr>
        <w:keepLines w:val="1"/>
        <w:numPr>
          <w:ilvl w:val="0"/>
          <w:numId w:val="8"/>
        </w:numPr>
        <w:shd w:fill="ffffff" w:val="clear"/>
        <w:spacing w:line="240" w:lineRule="auto"/>
        <w:ind w:left="216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DOI: </w:t>
      </w:r>
      <w:hyperlink r:id="rId8">
        <w:r w:rsidDel="00000000" w:rsidR="00000000" w:rsidRPr="00000000">
          <w:rPr>
            <w:rFonts w:ascii="Calibri" w:cs="Calibri" w:eastAsia="Calibri" w:hAnsi="Calibri"/>
            <w:u w:val="single"/>
            <w:rtl w:val="0"/>
          </w:rPr>
          <w:t xml:space="preserve">https://doi.org/10.15581/003.35.2.107-120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Lines w:val="1"/>
        <w:numPr>
          <w:ilvl w:val="0"/>
          <w:numId w:val="8"/>
        </w:numPr>
        <w:shd w:fill="ffffff" w:val="clear"/>
        <w:spacing w:line="240" w:lineRule="auto"/>
        <w:ind w:left="216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Factor de Impacto:</w:t>
      </w:r>
    </w:p>
    <w:p w:rsidR="00000000" w:rsidDel="00000000" w:rsidP="00000000" w:rsidRDefault="00000000" w:rsidRPr="00000000" w14:paraId="00000082">
      <w:pPr>
        <w:keepLines w:val="1"/>
        <w:numPr>
          <w:ilvl w:val="0"/>
          <w:numId w:val="12"/>
        </w:numPr>
        <w:shd w:fill="ffffff" w:val="clear"/>
        <w:spacing w:line="240" w:lineRule="auto"/>
        <w:ind w:left="288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0.434, Scimago Journal Rank (SJR)</w:t>
      </w:r>
    </w:p>
    <w:p w:rsidR="00000000" w:rsidDel="00000000" w:rsidP="00000000" w:rsidRDefault="00000000" w:rsidRPr="00000000" w14:paraId="00000083">
      <w:pPr>
        <w:keepLines w:val="1"/>
        <w:shd w:fill="ffffff" w:val="clear"/>
        <w:spacing w:line="240" w:lineRule="auto"/>
        <w:ind w:left="288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2022: 127 (1134), Cultural Studies (Q1); 127 (461) Communication (Q2).</w:t>
      </w:r>
    </w:p>
    <w:p w:rsidR="00000000" w:rsidDel="00000000" w:rsidP="00000000" w:rsidRDefault="00000000" w:rsidRPr="00000000" w14:paraId="00000084">
      <w:pPr>
        <w:keepLines w:val="1"/>
        <w:shd w:fill="ffffff" w:val="clear"/>
        <w:spacing w:line="240" w:lineRule="auto"/>
        <w:ind w:left="1440" w:firstLine="0"/>
        <w:jc w:val="both"/>
        <w:rPr>
          <w:rFonts w:ascii="Calibri" w:cs="Calibri" w:eastAsia="Calibri" w:hAnsi="Calibri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1276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color w:val="0f243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  <w:shd w:fill="f7f7f7" w:val="clear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10. TESIS RONCESVALLES LABIANO JUAN GARCÍA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Título de la tesis: Las víctimas de ETA en el cine y la literatura. Realidad y representación de los damnificados por el terrorismo (1968-2018)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Directora: María del Mar Larraza Micheltorena y  Codirector: Javier Marrodán Ciordia. Leída el 14 de junio de 2019. Sobresaliente Cum Laude. Doctorado Internacional.</w:t>
      </w:r>
    </w:p>
    <w:p w:rsidR="00000000" w:rsidDel="00000000" w:rsidP="00000000" w:rsidRDefault="00000000" w:rsidRPr="00000000" w14:paraId="00000088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Lines w:val="1"/>
        <w:numPr>
          <w:ilvl w:val="0"/>
          <w:numId w:val="20"/>
        </w:numPr>
        <w:shd w:fill="ffffff" w:val="clear"/>
        <w:spacing w:after="0" w:afterAutospacing="0" w:before="240"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Título del artículo: Literatura comprometida frente al terror y el silencio. Las novelas sobre ETA de Luisa Etxenike: «El ángulo ciego», «Absoluta presencia» y «Aves del paraíso». Castilla. Estudios De Literatura, (12), 620–655</w:t>
      </w:r>
    </w:p>
    <w:p w:rsidR="00000000" w:rsidDel="00000000" w:rsidP="00000000" w:rsidRDefault="00000000" w:rsidRPr="00000000" w14:paraId="0000008A">
      <w:pPr>
        <w:keepLines w:val="1"/>
        <w:numPr>
          <w:ilvl w:val="0"/>
          <w:numId w:val="20"/>
        </w:numPr>
        <w:shd w:fill="ffffff" w:val="clear"/>
        <w:spacing w:after="0" w:afterAutospacing="0" w:before="0" w:beforeAutospacing="0"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Autor: Labiano Juangarcía, R. (2021)</w:t>
      </w:r>
    </w:p>
    <w:p w:rsidR="00000000" w:rsidDel="00000000" w:rsidP="00000000" w:rsidRDefault="00000000" w:rsidRPr="00000000" w14:paraId="0000008B">
      <w:pPr>
        <w:keepLines w:val="1"/>
        <w:numPr>
          <w:ilvl w:val="0"/>
          <w:numId w:val="20"/>
        </w:numPr>
        <w:shd w:fill="ffffff" w:val="clear"/>
        <w:spacing w:after="0" w:afterAutospacing="0" w:before="0" w:beforeAutospacing="0"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DOI: . </w:t>
      </w:r>
      <w:hyperlink r:id="rId9">
        <w:r w:rsidDel="00000000" w:rsidR="00000000" w:rsidRPr="00000000">
          <w:rPr>
            <w:rFonts w:ascii="Calibri" w:cs="Calibri" w:eastAsia="Calibri" w:hAnsi="Calibri"/>
            <w:u w:val="single"/>
            <w:rtl w:val="0"/>
          </w:rPr>
          <w:t xml:space="preserve">https://doi.org/10.24197/cel.12.2021.620-655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Lines w:val="1"/>
        <w:numPr>
          <w:ilvl w:val="0"/>
          <w:numId w:val="20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Factor de impacto:</w:t>
      </w:r>
    </w:p>
    <w:p w:rsidR="00000000" w:rsidDel="00000000" w:rsidP="00000000" w:rsidRDefault="00000000" w:rsidRPr="00000000" w14:paraId="0000008D">
      <w:pPr>
        <w:keepLines w:val="1"/>
        <w:shd w:fill="ffffff" w:val="clear"/>
        <w:spacing w:after="0" w:before="0" w:line="240" w:lineRule="auto"/>
        <w:ind w:left="72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0.144, Scimago Journal Rank (SJR)</w:t>
      </w:r>
    </w:p>
    <w:p w:rsidR="00000000" w:rsidDel="00000000" w:rsidP="00000000" w:rsidRDefault="00000000" w:rsidRPr="00000000" w14:paraId="0000008E">
      <w:pPr>
        <w:keepLines w:val="1"/>
        <w:shd w:fill="ffffff" w:val="clear"/>
        <w:spacing w:after="0" w:before="0" w:line="240" w:lineRule="auto"/>
        <w:ind w:left="72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2021: 220 (1004) LITERATURE AND LITERARY THEORY (Q1)</w:t>
      </w:r>
    </w:p>
    <w:p w:rsidR="00000000" w:rsidDel="00000000" w:rsidP="00000000" w:rsidRDefault="00000000" w:rsidRPr="00000000" w14:paraId="0000008F">
      <w:pPr>
        <w:keepLines w:val="1"/>
        <w:shd w:fill="ffffff" w:val="clear"/>
        <w:spacing w:line="24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15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17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18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19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2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i.org/10.24197/cel.12.2021.620-655" TargetMode="External"/><Relationship Id="rId5" Type="http://schemas.openxmlformats.org/officeDocument/2006/relationships/styles" Target="styles.xml"/><Relationship Id="rId6" Type="http://schemas.openxmlformats.org/officeDocument/2006/relationships/hyperlink" Target="https://scholar.google.es/scholar?oi=bibs&amp;cluster=10885844113880064989&amp;btnI=1&amp;hl=es" TargetMode="External"/><Relationship Id="rId7" Type="http://schemas.openxmlformats.org/officeDocument/2006/relationships/hyperlink" Target="https://doi.org/10.3145/epi.2023.ene.15" TargetMode="External"/><Relationship Id="rId8" Type="http://schemas.openxmlformats.org/officeDocument/2006/relationships/hyperlink" Target="https://doi.org/10.15581/003.35.2.107-1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